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EAC8C" w14:textId="77777777" w:rsidR="00F02767" w:rsidRPr="001711B4" w:rsidRDefault="00F02767" w:rsidP="00F02767">
      <w:pPr>
        <w:pStyle w:val="Titolo1"/>
        <w:spacing w:after="600"/>
        <w:ind w:left="426" w:hanging="426"/>
      </w:pPr>
      <w:bookmarkStart w:id="0" w:name="_Toc160606562"/>
      <w:r w:rsidRPr="001711B4">
        <w:t>Vademecum per la verifica del merito creditizio del consumatore sovraindebitato</w:t>
      </w:r>
      <w:bookmarkEnd w:id="0"/>
    </w:p>
    <w:p w14:paraId="2E2E6D06" w14:textId="77777777" w:rsidR="00F02767" w:rsidRPr="009F4186" w:rsidRDefault="00F02767" w:rsidP="00F02767">
      <w:pPr>
        <w:spacing w:before="120" w:after="120" w:line="276" w:lineRule="auto"/>
        <w:rPr>
          <w:shd w:val="clear" w:color="auto" w:fill="FFFFFF"/>
        </w:rPr>
      </w:pPr>
      <w:r w:rsidRPr="009F4186">
        <w:rPr>
          <w:shd w:val="clear" w:color="auto" w:fill="FFFFFF"/>
        </w:rPr>
        <w:t>Come prevede l’art. 68, comma 3, CCII, l’O</w:t>
      </w:r>
      <w:r>
        <w:rPr>
          <w:shd w:val="clear" w:color="auto" w:fill="FFFFFF"/>
        </w:rPr>
        <w:t>.</w:t>
      </w:r>
      <w:r w:rsidRPr="009F4186">
        <w:rPr>
          <w:shd w:val="clear" w:color="auto" w:fill="FFFFFF"/>
        </w:rPr>
        <w:t>C</w:t>
      </w:r>
      <w:r>
        <w:rPr>
          <w:shd w:val="clear" w:color="auto" w:fill="FFFFFF"/>
        </w:rPr>
        <w:t>.</w:t>
      </w:r>
      <w:r w:rsidRPr="009F4186">
        <w:rPr>
          <w:shd w:val="clear" w:color="auto" w:fill="FFFFFF"/>
        </w:rPr>
        <w:t>C</w:t>
      </w:r>
      <w:r>
        <w:rPr>
          <w:shd w:val="clear" w:color="auto" w:fill="FFFFFF"/>
        </w:rPr>
        <w:t>.</w:t>
      </w:r>
      <w:r w:rsidRPr="009F4186">
        <w:rPr>
          <w:shd w:val="clear" w:color="auto" w:fill="FFFFFF"/>
        </w:rPr>
        <w:t xml:space="preserve">, nella sua relazione, deve indicare anche se il soggetto finanziatore, ai fini della concessione del finanziamento, abbia tenuto conto del merito creditizio del debitore, valutato in relazione al suo reddito disponibile, dedotto l’importo necessario a mantenere un dignitoso tenore di vita. La stessa disposizione precisa che, a tal fine, si ritiene idonea una quantificazione non inferiore all’ammontare dell’assegno sociale moltiplicato per un parametro corrispondente al numero dei componenti il nucleo familiare della scala di equivalenza dell’ISEE di cui al </w:t>
      </w:r>
      <w:proofErr w:type="spellStart"/>
      <w:r w:rsidRPr="009F4186">
        <w:rPr>
          <w:shd w:val="clear" w:color="auto" w:fill="FFFFFF"/>
        </w:rPr>
        <w:t>d</w:t>
      </w:r>
      <w:r>
        <w:rPr>
          <w:shd w:val="clear" w:color="auto" w:fill="FFFFFF"/>
        </w:rPr>
        <w:t>.p.c.m.</w:t>
      </w:r>
      <w:proofErr w:type="spellEnd"/>
      <w:r>
        <w:rPr>
          <w:shd w:val="clear" w:color="auto" w:fill="FFFFFF"/>
        </w:rPr>
        <w:t xml:space="preserve"> </w:t>
      </w:r>
      <w:r w:rsidRPr="009F4186">
        <w:rPr>
          <w:shd w:val="clear" w:color="auto" w:fill="FFFFFF"/>
        </w:rPr>
        <w:t>5 dicembre 2013, n. 159</w:t>
      </w:r>
      <w:r>
        <w:rPr>
          <w:shd w:val="clear" w:color="auto" w:fill="FFFFFF"/>
        </w:rPr>
        <w:t>.</w:t>
      </w:r>
      <w:r w:rsidRPr="009F4186">
        <w:rPr>
          <w:shd w:val="clear" w:color="auto" w:fill="FFFFFF"/>
        </w:rPr>
        <w:t xml:space="preserve"> </w:t>
      </w:r>
    </w:p>
    <w:p w14:paraId="461943E4" w14:textId="77777777" w:rsidR="00F02767" w:rsidRPr="009F4186" w:rsidRDefault="00F02767" w:rsidP="00F02767">
      <w:pPr>
        <w:spacing w:before="120" w:after="120" w:line="276" w:lineRule="auto"/>
        <w:rPr>
          <w:shd w:val="clear" w:color="auto" w:fill="FFFFFF"/>
        </w:rPr>
      </w:pPr>
      <w:r w:rsidRPr="009F4186">
        <w:rPr>
          <w:shd w:val="clear" w:color="auto" w:fill="FFFFFF"/>
        </w:rPr>
        <w:t>L’obbligo di verifica del merito creditizio, primariamente previsto dalle direttive comunitarie sul credito al consumo e sui contratti di credito immobiliare, è stato recepito nel nostro ordinamento nelle disposizioni di cui agli artt. 120-</w:t>
      </w:r>
      <w:r w:rsidRPr="009F4186">
        <w:rPr>
          <w:i/>
          <w:iCs/>
          <w:shd w:val="clear" w:color="auto" w:fill="FFFFFF"/>
        </w:rPr>
        <w:t>undecies</w:t>
      </w:r>
      <w:r w:rsidRPr="009F4186">
        <w:rPr>
          <w:shd w:val="clear" w:color="auto" w:fill="FFFFFF"/>
        </w:rPr>
        <w:t xml:space="preserve"> e 124-</w:t>
      </w:r>
      <w:r w:rsidRPr="009F4186">
        <w:rPr>
          <w:i/>
          <w:iCs/>
          <w:shd w:val="clear" w:color="auto" w:fill="FFFFFF"/>
        </w:rPr>
        <w:t>bis</w:t>
      </w:r>
      <w:r w:rsidRPr="009F4186">
        <w:rPr>
          <w:shd w:val="clear" w:color="auto" w:fill="FFFFFF"/>
        </w:rPr>
        <w:t xml:space="preserve"> del </w:t>
      </w:r>
      <w:r>
        <w:rPr>
          <w:shd w:val="clear" w:color="auto" w:fill="FFFFFF"/>
        </w:rPr>
        <w:t>T.U.B.</w:t>
      </w:r>
      <w:r w:rsidRPr="009F4186">
        <w:rPr>
          <w:shd w:val="clear" w:color="auto" w:fill="FFFFFF"/>
        </w:rPr>
        <w:t xml:space="preserve"> che prevedono la verifica del merito creditizio che gli istituti di credito e/o finanziarie devono attivare, necessariamente, prima della conclusione di un contratto di finanziamento per valutare le prospettive di adempimento, da parte del consumatore, degli obblighi stabiliti dal contratto medesimo</w:t>
      </w:r>
      <w:r w:rsidRPr="009F4186">
        <w:rPr>
          <w:shd w:val="clear" w:color="auto" w:fill="FFFFFF"/>
          <w:vertAlign w:val="superscript"/>
        </w:rPr>
        <w:footnoteReference w:id="1"/>
      </w:r>
      <w:r w:rsidRPr="009F4186">
        <w:rPr>
          <w:shd w:val="clear" w:color="auto" w:fill="FFFFFF"/>
        </w:rPr>
        <w:t>.</w:t>
      </w:r>
    </w:p>
    <w:p w14:paraId="524E4AF5" w14:textId="77777777" w:rsidR="00F02767" w:rsidRPr="009F4186" w:rsidRDefault="00F02767" w:rsidP="00F02767">
      <w:pPr>
        <w:spacing w:before="120" w:after="120" w:line="276" w:lineRule="auto"/>
        <w:rPr>
          <w:shd w:val="clear" w:color="auto" w:fill="FFFFFF"/>
        </w:rPr>
      </w:pPr>
      <w:r w:rsidRPr="009F4186">
        <w:rPr>
          <w:shd w:val="clear" w:color="auto" w:fill="FFFFFF"/>
        </w:rPr>
        <w:t>Come conseguenza sanzionatoria alla violazione di tale prescrizione il legislatore ha introdotto l’art. 69, comma 2, CCII ai sensi del quale il creditore che ha colpevolmente determinato la situazione di indebitamento o il suo aggravamento o che ha violato i principi di cui all’art. 124-</w:t>
      </w:r>
      <w:r w:rsidRPr="009F4186">
        <w:rPr>
          <w:i/>
          <w:iCs/>
          <w:shd w:val="clear" w:color="auto" w:fill="FFFFFF"/>
        </w:rPr>
        <w:t>bis</w:t>
      </w:r>
      <w:r w:rsidRPr="009F4186">
        <w:rPr>
          <w:shd w:val="clear" w:color="auto" w:fill="FFFFFF"/>
        </w:rPr>
        <w:t xml:space="preserve"> del </w:t>
      </w:r>
      <w:r>
        <w:rPr>
          <w:shd w:val="clear" w:color="auto" w:fill="FFFFFF"/>
        </w:rPr>
        <w:t>T.U.B.</w:t>
      </w:r>
      <w:r w:rsidRPr="009F4186">
        <w:rPr>
          <w:shd w:val="clear" w:color="auto" w:fill="FFFFFF"/>
        </w:rPr>
        <w:t>, non può presentare opposizione o reclamo in sede di omologa per contestare la convenienza della proposta</w:t>
      </w:r>
      <w:r w:rsidRPr="009F4186">
        <w:rPr>
          <w:shd w:val="clear" w:color="auto" w:fill="FFFFFF"/>
          <w:vertAlign w:val="superscript"/>
        </w:rPr>
        <w:footnoteReference w:id="2"/>
      </w:r>
      <w:r w:rsidRPr="009F4186">
        <w:rPr>
          <w:shd w:val="clear" w:color="auto" w:fill="FFFFFF"/>
        </w:rPr>
        <w:t>.</w:t>
      </w:r>
    </w:p>
    <w:p w14:paraId="209E7DA3" w14:textId="77777777" w:rsidR="00F02767" w:rsidRPr="009F4186" w:rsidRDefault="00F02767" w:rsidP="00F02767">
      <w:pPr>
        <w:spacing w:before="120" w:after="120" w:line="276" w:lineRule="auto"/>
        <w:rPr>
          <w:rFonts w:eastAsia="Times New Roman"/>
          <w:lang w:eastAsia="it-IT"/>
        </w:rPr>
      </w:pPr>
      <w:r w:rsidRPr="009F4186">
        <w:rPr>
          <w:rFonts w:eastAsia="Times New Roman"/>
          <w:lang w:eastAsia="it-IT"/>
        </w:rPr>
        <w:t>Il finanziatore è tenuto a valutare il merito creditizio del consumatore sulla base di informazioni adeguate, fornite dal cliente stesso ovvero reperite mediante consultazione di banche dati pubbliche e/o private. </w:t>
      </w:r>
    </w:p>
    <w:p w14:paraId="7B468784" w14:textId="77777777" w:rsidR="00F02767" w:rsidRPr="009F4186" w:rsidRDefault="00F02767" w:rsidP="00F02767">
      <w:pPr>
        <w:spacing w:before="120" w:after="120" w:line="276" w:lineRule="auto"/>
        <w:rPr>
          <w:rFonts w:eastAsia="Times New Roman"/>
          <w:lang w:eastAsia="it-IT"/>
        </w:rPr>
      </w:pPr>
      <w:r w:rsidRPr="009F4186">
        <w:rPr>
          <w:rFonts w:eastAsia="Times New Roman"/>
          <w:bdr w:val="none" w:sz="0" w:space="0" w:color="auto" w:frame="1"/>
          <w:lang w:eastAsia="it-IT"/>
        </w:rPr>
        <w:t>La verifica del merito creditizio</w:t>
      </w:r>
      <w:r w:rsidRPr="009F4186">
        <w:rPr>
          <w:rFonts w:eastAsia="Times New Roman"/>
          <w:lang w:eastAsia="it-IT"/>
        </w:rPr>
        <w:t xml:space="preserve"> deve essere condotta dal finanziatore prestando attenzione al </w:t>
      </w:r>
      <w:r w:rsidRPr="009F4186">
        <w:rPr>
          <w:rFonts w:eastAsia="Times New Roman"/>
          <w:bdr w:val="none" w:sz="0" w:space="0" w:color="auto" w:frame="1"/>
          <w:lang w:eastAsia="it-IT"/>
        </w:rPr>
        <w:t>rischio di sovraindebitamento</w:t>
      </w:r>
      <w:r w:rsidRPr="009F4186">
        <w:rPr>
          <w:rFonts w:eastAsia="Times New Roman"/>
          <w:lang w:eastAsia="it-IT"/>
        </w:rPr>
        <w:t xml:space="preserve"> cui il soggetto finanziato può andare incontro nel momento in cui ottiene credito.</w:t>
      </w:r>
    </w:p>
    <w:p w14:paraId="5BC9C0B9" w14:textId="77777777" w:rsidR="00F02767" w:rsidRPr="009F4186" w:rsidRDefault="00F02767" w:rsidP="00F02767">
      <w:pPr>
        <w:spacing w:before="120" w:after="120" w:line="276" w:lineRule="auto"/>
        <w:rPr>
          <w:rFonts w:eastAsia="Times New Roman"/>
          <w:lang w:eastAsia="it-IT"/>
        </w:rPr>
      </w:pPr>
      <w:r w:rsidRPr="009F4186">
        <w:rPr>
          <w:rFonts w:eastAsia="Times New Roman"/>
          <w:lang w:eastAsia="it-IT"/>
        </w:rPr>
        <w:t xml:space="preserve">In un’ottica di tutela del contraente debole quindi, l’istituto di credito deve orientarsi al </w:t>
      </w:r>
      <w:r w:rsidRPr="009F4186">
        <w:rPr>
          <w:rFonts w:eastAsia="Times New Roman"/>
          <w:spacing w:val="-6"/>
          <w:lang w:eastAsia="it-IT"/>
        </w:rPr>
        <w:t>principio del prestito responsabile</w:t>
      </w:r>
      <w:r w:rsidRPr="009F4186">
        <w:rPr>
          <w:rFonts w:eastAsia="Times New Roman"/>
          <w:lang w:eastAsia="it-IT"/>
        </w:rPr>
        <w:t>, tale per cui in assenza di merito creditizio il finanziamento non dovrebbe essere accordato.</w:t>
      </w:r>
    </w:p>
    <w:p w14:paraId="65F35717" w14:textId="77777777" w:rsidR="00F02767" w:rsidRPr="009F4186" w:rsidRDefault="00F02767" w:rsidP="00F02767">
      <w:pPr>
        <w:spacing w:before="120" w:after="120" w:line="276" w:lineRule="auto"/>
        <w:rPr>
          <w:rFonts w:eastAsia="Times New Roman"/>
          <w:spacing w:val="-6"/>
          <w:lang w:eastAsia="it-IT"/>
        </w:rPr>
      </w:pPr>
      <w:r w:rsidRPr="009F4186">
        <w:rPr>
          <w:rFonts w:eastAsia="Times New Roman"/>
          <w:spacing w:val="-6"/>
          <w:lang w:eastAsia="it-IT"/>
        </w:rPr>
        <w:lastRenderedPageBreak/>
        <w:t>La verifica del merito creditizio del consumatore, pertanto</w:t>
      </w:r>
      <w:r w:rsidRPr="009F4186">
        <w:rPr>
          <w:rFonts w:eastAsia="Times New Roman"/>
          <w:lang w:eastAsia="it-IT"/>
        </w:rPr>
        <w:t xml:space="preserve">, deve prescindere da qualsiasi sindacato circa l’opportunità di impiego del denaro prestato, </w:t>
      </w:r>
      <w:r w:rsidRPr="009F4186">
        <w:rPr>
          <w:rFonts w:eastAsia="Times New Roman"/>
          <w:spacing w:val="-6"/>
          <w:lang w:eastAsia="it-IT"/>
        </w:rPr>
        <w:t xml:space="preserve">dovendo tenere conto solo della oggettiva e attuale capacità di rimborso del cliente. </w:t>
      </w:r>
    </w:p>
    <w:p w14:paraId="4360FE0C" w14:textId="77777777" w:rsidR="00F02767" w:rsidRPr="009F4186" w:rsidRDefault="00F02767" w:rsidP="00F02767">
      <w:pPr>
        <w:spacing w:before="120" w:after="120" w:line="276" w:lineRule="auto"/>
        <w:rPr>
          <w:shd w:val="clear" w:color="auto" w:fill="FFFFFF"/>
        </w:rPr>
      </w:pPr>
      <w:r w:rsidRPr="009F4186">
        <w:rPr>
          <w:shd w:val="clear" w:color="auto" w:fill="FFFFFF"/>
        </w:rPr>
        <w:t xml:space="preserve">Ciò posto, gli elementi che si invita a considerare per verificare se il soggetto finanziatore abbia o meno tenuto conto del merito creditizio sono: </w:t>
      </w:r>
    </w:p>
    <w:p w14:paraId="7AFEF363" w14:textId="77777777" w:rsidR="00F02767" w:rsidRPr="009F4186" w:rsidRDefault="00F02767" w:rsidP="00F02767">
      <w:pPr>
        <w:numPr>
          <w:ilvl w:val="0"/>
          <w:numId w:val="2"/>
        </w:numPr>
        <w:shd w:val="clear" w:color="auto" w:fill="FFFFFF"/>
        <w:tabs>
          <w:tab w:val="clear" w:pos="720"/>
          <w:tab w:val="num" w:pos="1418"/>
        </w:tabs>
        <w:spacing w:before="60" w:after="60" w:line="276" w:lineRule="auto"/>
        <w:ind w:left="426" w:hanging="284"/>
        <w:rPr>
          <w:shd w:val="clear" w:color="auto" w:fill="FFFFFF"/>
        </w:rPr>
      </w:pPr>
      <w:r w:rsidRPr="009F4186">
        <w:rPr>
          <w:shd w:val="clear" w:color="auto" w:fill="FFFFFF"/>
        </w:rPr>
        <w:t xml:space="preserve">l’importo del </w:t>
      </w:r>
      <w:r w:rsidRPr="00FC1A9C">
        <w:rPr>
          <w:rFonts w:eastAsiaTheme="minorHAnsi" w:cstheme="minorHAnsi"/>
          <w:kern w:val="2"/>
          <w:szCs w:val="22"/>
          <w:shd w:val="clear" w:color="auto" w:fill="FFFFFF"/>
          <w14:ligatures w14:val="standardContextual"/>
        </w:rPr>
        <w:t>finanziamento</w:t>
      </w:r>
      <w:r w:rsidRPr="009F4186">
        <w:rPr>
          <w:shd w:val="clear" w:color="auto" w:fill="FFFFFF"/>
        </w:rPr>
        <w:t xml:space="preserve">; </w:t>
      </w:r>
    </w:p>
    <w:p w14:paraId="21CC25C9" w14:textId="77777777" w:rsidR="00F02767" w:rsidRPr="009F4186" w:rsidRDefault="00F02767" w:rsidP="00F02767">
      <w:pPr>
        <w:numPr>
          <w:ilvl w:val="0"/>
          <w:numId w:val="2"/>
        </w:numPr>
        <w:shd w:val="clear" w:color="auto" w:fill="FFFFFF"/>
        <w:tabs>
          <w:tab w:val="clear" w:pos="720"/>
          <w:tab w:val="num" w:pos="1418"/>
        </w:tabs>
        <w:spacing w:before="60" w:after="60" w:line="276" w:lineRule="auto"/>
        <w:ind w:left="426" w:hanging="284"/>
        <w:rPr>
          <w:rFonts w:eastAsiaTheme="minorHAnsi" w:cstheme="minorHAnsi"/>
          <w:kern w:val="2"/>
          <w:szCs w:val="22"/>
          <w:shd w:val="clear" w:color="auto" w:fill="FFFFFF"/>
          <w14:ligatures w14:val="standardContextual"/>
        </w:rPr>
      </w:pPr>
      <w:r w:rsidRPr="009F4186">
        <w:rPr>
          <w:rFonts w:eastAsiaTheme="minorHAnsi" w:cstheme="minorHAnsi"/>
          <w:kern w:val="2"/>
          <w:szCs w:val="22"/>
          <w:shd w:val="clear" w:color="auto" w:fill="FFFFFF"/>
          <w14:ligatures w14:val="standardContextual"/>
        </w:rPr>
        <w:t xml:space="preserve">l’importo delle rate di ulteriori finanziamenti ottenuti in precedenza; </w:t>
      </w:r>
    </w:p>
    <w:p w14:paraId="2FD25D92" w14:textId="77777777" w:rsidR="00F02767" w:rsidRPr="009F4186" w:rsidRDefault="00F02767" w:rsidP="00F02767">
      <w:pPr>
        <w:numPr>
          <w:ilvl w:val="0"/>
          <w:numId w:val="2"/>
        </w:numPr>
        <w:shd w:val="clear" w:color="auto" w:fill="FFFFFF"/>
        <w:tabs>
          <w:tab w:val="clear" w:pos="720"/>
          <w:tab w:val="num" w:pos="1418"/>
        </w:tabs>
        <w:spacing w:before="60" w:after="60" w:line="276" w:lineRule="auto"/>
        <w:ind w:left="426" w:hanging="284"/>
        <w:rPr>
          <w:rFonts w:eastAsiaTheme="minorHAnsi" w:cstheme="minorHAnsi"/>
          <w:kern w:val="2"/>
          <w:szCs w:val="22"/>
          <w:shd w:val="clear" w:color="auto" w:fill="FFFFFF"/>
          <w14:ligatures w14:val="standardContextual"/>
        </w:rPr>
      </w:pPr>
      <w:r w:rsidRPr="009F4186">
        <w:rPr>
          <w:rFonts w:eastAsiaTheme="minorHAnsi" w:cstheme="minorHAnsi"/>
          <w:kern w:val="2"/>
          <w:szCs w:val="22"/>
          <w:shd w:val="clear" w:color="auto" w:fill="FFFFFF"/>
          <w14:ligatures w14:val="standardContextual"/>
        </w:rPr>
        <w:t xml:space="preserve">il numero dei componenti del nucleo familiare; </w:t>
      </w:r>
    </w:p>
    <w:p w14:paraId="345C83CE" w14:textId="77777777" w:rsidR="00F02767" w:rsidRPr="009F4186" w:rsidRDefault="00F02767" w:rsidP="00F02767">
      <w:pPr>
        <w:numPr>
          <w:ilvl w:val="0"/>
          <w:numId w:val="2"/>
        </w:numPr>
        <w:shd w:val="clear" w:color="auto" w:fill="FFFFFF"/>
        <w:tabs>
          <w:tab w:val="clear" w:pos="720"/>
          <w:tab w:val="num" w:pos="1418"/>
        </w:tabs>
        <w:spacing w:before="60" w:after="60" w:line="276" w:lineRule="auto"/>
        <w:ind w:left="426" w:hanging="284"/>
        <w:rPr>
          <w:rFonts w:eastAsiaTheme="minorHAnsi" w:cstheme="minorHAnsi"/>
          <w:kern w:val="2"/>
          <w:szCs w:val="22"/>
          <w:shd w:val="clear" w:color="auto" w:fill="FFFFFF"/>
          <w14:ligatures w14:val="standardContextual"/>
        </w:rPr>
      </w:pPr>
      <w:r w:rsidRPr="009F4186">
        <w:rPr>
          <w:rFonts w:eastAsiaTheme="minorHAnsi" w:cstheme="minorHAnsi"/>
          <w:kern w:val="2"/>
          <w:szCs w:val="22"/>
          <w:shd w:val="clear" w:color="auto" w:fill="FFFFFF"/>
          <w14:ligatures w14:val="standardContextual"/>
        </w:rPr>
        <w:t>il reddito netto dei componenti il nucleo familiare, risultanti dall’ultima dichiarazione presentata;</w:t>
      </w:r>
    </w:p>
    <w:p w14:paraId="5C39408A" w14:textId="77777777" w:rsidR="00F02767" w:rsidRPr="009F4186" w:rsidRDefault="00F02767" w:rsidP="00F02767">
      <w:pPr>
        <w:numPr>
          <w:ilvl w:val="0"/>
          <w:numId w:val="2"/>
        </w:numPr>
        <w:shd w:val="clear" w:color="auto" w:fill="FFFFFF"/>
        <w:tabs>
          <w:tab w:val="clear" w:pos="720"/>
          <w:tab w:val="num" w:pos="1418"/>
        </w:tabs>
        <w:spacing w:before="60" w:after="60" w:line="276" w:lineRule="auto"/>
        <w:ind w:left="426" w:hanging="284"/>
        <w:rPr>
          <w:rFonts w:eastAsiaTheme="minorHAnsi" w:cstheme="minorHAnsi"/>
          <w:kern w:val="2"/>
          <w:szCs w:val="22"/>
          <w:shd w:val="clear" w:color="auto" w:fill="FFFFFF"/>
          <w14:ligatures w14:val="standardContextual"/>
        </w:rPr>
      </w:pPr>
      <w:r w:rsidRPr="009F4186">
        <w:rPr>
          <w:rFonts w:eastAsiaTheme="minorHAnsi" w:cstheme="minorHAnsi"/>
          <w:kern w:val="2"/>
          <w:szCs w:val="22"/>
          <w:shd w:val="clear" w:color="auto" w:fill="FFFFFF"/>
          <w14:ligatures w14:val="standardContextual"/>
        </w:rPr>
        <w:t xml:space="preserve">l’importo dell’assegno sociale; </w:t>
      </w:r>
    </w:p>
    <w:p w14:paraId="1B6DCBA5" w14:textId="77777777" w:rsidR="00F02767" w:rsidRPr="009F4186" w:rsidRDefault="00F02767" w:rsidP="00F02767">
      <w:pPr>
        <w:numPr>
          <w:ilvl w:val="0"/>
          <w:numId w:val="2"/>
        </w:numPr>
        <w:shd w:val="clear" w:color="auto" w:fill="FFFFFF"/>
        <w:tabs>
          <w:tab w:val="clear" w:pos="720"/>
          <w:tab w:val="num" w:pos="1418"/>
        </w:tabs>
        <w:spacing w:before="60" w:after="60" w:line="276" w:lineRule="auto"/>
        <w:ind w:left="426" w:hanging="284"/>
        <w:rPr>
          <w:rFonts w:eastAsiaTheme="minorHAnsi" w:cstheme="minorHAnsi"/>
          <w:kern w:val="2"/>
          <w:szCs w:val="22"/>
          <w:shd w:val="clear" w:color="auto" w:fill="FFFFFF"/>
          <w14:ligatures w14:val="standardContextual"/>
        </w:rPr>
      </w:pPr>
      <w:r w:rsidRPr="009F4186">
        <w:rPr>
          <w:rFonts w:eastAsiaTheme="minorHAnsi" w:cstheme="minorHAnsi"/>
          <w:kern w:val="2"/>
          <w:szCs w:val="22"/>
          <w:shd w:val="clear" w:color="auto" w:fill="FFFFFF"/>
          <w14:ligatures w14:val="standardContextual"/>
        </w:rPr>
        <w:t xml:space="preserve">la scala di equivalenza ISEE ovvero i parametri da applicare in base alla composizione del nucleo familiare, rispettivamente pari a: </w:t>
      </w:r>
    </w:p>
    <w:p w14:paraId="5E2A46CA" w14:textId="77777777" w:rsidR="00F02767" w:rsidRPr="009F4186" w:rsidRDefault="00F02767" w:rsidP="00F02767">
      <w:pPr>
        <w:numPr>
          <w:ilvl w:val="0"/>
          <w:numId w:val="3"/>
        </w:numPr>
        <w:shd w:val="clear" w:color="auto" w:fill="FFFFFF"/>
        <w:tabs>
          <w:tab w:val="clear" w:pos="720"/>
        </w:tabs>
        <w:spacing w:before="60" w:after="60" w:line="276" w:lineRule="auto"/>
        <w:ind w:hanging="153"/>
        <w:jc w:val="left"/>
        <w:rPr>
          <w:rFonts w:eastAsia="Times New Roman" w:cstheme="minorHAnsi"/>
          <w:szCs w:val="22"/>
          <w:lang w:eastAsia="it-IT"/>
        </w:rPr>
      </w:pPr>
      <w:r w:rsidRPr="009F4186">
        <w:rPr>
          <w:rFonts w:eastAsia="Times New Roman" w:cstheme="minorHAnsi"/>
          <w:szCs w:val="22"/>
          <w:lang w:eastAsia="it-IT"/>
        </w:rPr>
        <w:t>1 per un componente del nucleo familiare;</w:t>
      </w:r>
    </w:p>
    <w:p w14:paraId="16EAA906" w14:textId="77777777" w:rsidR="00F02767" w:rsidRPr="009F4186" w:rsidRDefault="00F02767" w:rsidP="00F02767">
      <w:pPr>
        <w:numPr>
          <w:ilvl w:val="0"/>
          <w:numId w:val="3"/>
        </w:numPr>
        <w:shd w:val="clear" w:color="auto" w:fill="FFFFFF"/>
        <w:tabs>
          <w:tab w:val="clear" w:pos="720"/>
        </w:tabs>
        <w:spacing w:before="60" w:after="60" w:line="276" w:lineRule="auto"/>
        <w:ind w:hanging="153"/>
        <w:jc w:val="left"/>
        <w:rPr>
          <w:rFonts w:eastAsia="Times New Roman" w:cstheme="minorHAnsi"/>
          <w:szCs w:val="22"/>
          <w:lang w:eastAsia="it-IT"/>
        </w:rPr>
      </w:pPr>
      <w:r w:rsidRPr="009F4186">
        <w:rPr>
          <w:rFonts w:eastAsia="Times New Roman" w:cstheme="minorHAnsi"/>
          <w:szCs w:val="22"/>
          <w:lang w:eastAsia="it-IT"/>
        </w:rPr>
        <w:t>1,57 per due componenti del nucleo familiare;</w:t>
      </w:r>
    </w:p>
    <w:p w14:paraId="43630566" w14:textId="77777777" w:rsidR="00F02767" w:rsidRPr="009F4186" w:rsidRDefault="00F02767" w:rsidP="00F02767">
      <w:pPr>
        <w:numPr>
          <w:ilvl w:val="0"/>
          <w:numId w:val="3"/>
        </w:numPr>
        <w:shd w:val="clear" w:color="auto" w:fill="FFFFFF"/>
        <w:tabs>
          <w:tab w:val="clear" w:pos="720"/>
        </w:tabs>
        <w:spacing w:before="60" w:after="60" w:line="276" w:lineRule="auto"/>
        <w:ind w:hanging="153"/>
        <w:jc w:val="left"/>
        <w:rPr>
          <w:rFonts w:eastAsia="Times New Roman" w:cstheme="minorHAnsi"/>
          <w:szCs w:val="22"/>
          <w:lang w:eastAsia="it-IT"/>
        </w:rPr>
      </w:pPr>
      <w:r w:rsidRPr="009F4186">
        <w:rPr>
          <w:rFonts w:eastAsia="Times New Roman" w:cstheme="minorHAnsi"/>
          <w:szCs w:val="22"/>
          <w:lang w:eastAsia="it-IT"/>
        </w:rPr>
        <w:t>2,04 per tre componenti del nucleo familiare;</w:t>
      </w:r>
    </w:p>
    <w:p w14:paraId="48D2F910" w14:textId="77777777" w:rsidR="00F02767" w:rsidRPr="009F4186" w:rsidRDefault="00F02767" w:rsidP="00F02767">
      <w:pPr>
        <w:numPr>
          <w:ilvl w:val="0"/>
          <w:numId w:val="3"/>
        </w:numPr>
        <w:shd w:val="clear" w:color="auto" w:fill="FFFFFF"/>
        <w:tabs>
          <w:tab w:val="clear" w:pos="720"/>
        </w:tabs>
        <w:spacing w:before="60" w:after="60" w:line="276" w:lineRule="auto"/>
        <w:ind w:hanging="153"/>
        <w:jc w:val="left"/>
        <w:rPr>
          <w:rFonts w:eastAsia="Times New Roman" w:cstheme="minorHAnsi"/>
          <w:szCs w:val="22"/>
          <w:lang w:eastAsia="it-IT"/>
        </w:rPr>
      </w:pPr>
      <w:r w:rsidRPr="009F4186">
        <w:rPr>
          <w:rFonts w:eastAsia="Times New Roman" w:cstheme="minorHAnsi"/>
          <w:szCs w:val="22"/>
          <w:lang w:eastAsia="it-IT"/>
        </w:rPr>
        <w:t>2,46 per quattro componenti del nucleo familiare;</w:t>
      </w:r>
    </w:p>
    <w:p w14:paraId="60A9C0F0" w14:textId="77777777" w:rsidR="00F02767" w:rsidRPr="009F4186" w:rsidRDefault="00F02767" w:rsidP="00F02767">
      <w:pPr>
        <w:numPr>
          <w:ilvl w:val="0"/>
          <w:numId w:val="3"/>
        </w:numPr>
        <w:shd w:val="clear" w:color="auto" w:fill="FFFFFF"/>
        <w:tabs>
          <w:tab w:val="clear" w:pos="720"/>
        </w:tabs>
        <w:spacing w:before="60" w:after="60" w:line="276" w:lineRule="auto"/>
        <w:ind w:hanging="153"/>
        <w:jc w:val="left"/>
        <w:rPr>
          <w:rFonts w:eastAsia="Times New Roman" w:cstheme="minorHAnsi"/>
          <w:szCs w:val="22"/>
          <w:lang w:eastAsia="it-IT"/>
        </w:rPr>
      </w:pPr>
      <w:r w:rsidRPr="009F4186">
        <w:rPr>
          <w:rFonts w:eastAsia="Times New Roman" w:cstheme="minorHAnsi"/>
          <w:szCs w:val="22"/>
          <w:lang w:eastAsia="it-IT"/>
        </w:rPr>
        <w:t>2,85 per cinque componenti del nucleo familiare.</w:t>
      </w:r>
    </w:p>
    <w:p w14:paraId="6B5BA721" w14:textId="77777777" w:rsidR="00F02767" w:rsidRPr="009F4186" w:rsidRDefault="00F02767" w:rsidP="00F02767">
      <w:pPr>
        <w:shd w:val="clear" w:color="auto" w:fill="FFFFFF"/>
        <w:spacing w:before="120" w:after="120" w:line="276" w:lineRule="auto"/>
        <w:rPr>
          <w:rFonts w:eastAsia="Times New Roman" w:cstheme="minorHAnsi"/>
          <w:szCs w:val="22"/>
          <w:lang w:eastAsia="it-IT"/>
        </w:rPr>
      </w:pPr>
      <w:r w:rsidRPr="009F4186">
        <w:rPr>
          <w:rFonts w:eastAsia="Times New Roman" w:cstheme="minorHAnsi"/>
          <w:szCs w:val="22"/>
          <w:lang w:eastAsia="it-IT"/>
        </w:rPr>
        <w:t xml:space="preserve">Per ogni ulteriore componente del nucleo familiare oltre il quinto, il valore della scala di equivalenza da considerare è 0,35. </w:t>
      </w:r>
    </w:p>
    <w:p w14:paraId="36278511" w14:textId="77777777" w:rsidR="00F02767" w:rsidRPr="009F4186" w:rsidRDefault="00F02767" w:rsidP="00F02767">
      <w:pPr>
        <w:shd w:val="clear" w:color="auto" w:fill="FFFFFF"/>
        <w:spacing w:before="120" w:after="120" w:line="276" w:lineRule="auto"/>
        <w:rPr>
          <w:rFonts w:eastAsia="Times New Roman" w:cstheme="minorHAnsi"/>
          <w:szCs w:val="22"/>
          <w:lang w:eastAsia="it-IT"/>
        </w:rPr>
      </w:pPr>
      <w:r w:rsidRPr="009F4186">
        <w:rPr>
          <w:rFonts w:eastAsia="Times New Roman" w:cstheme="minorHAnsi"/>
          <w:szCs w:val="22"/>
          <w:lang w:eastAsia="it-IT"/>
        </w:rPr>
        <w:t>Sono previste ulteriori maggiorazioni</w:t>
      </w:r>
      <w:r w:rsidRPr="009F4186">
        <w:rPr>
          <w:rFonts w:eastAsiaTheme="minorHAnsi" w:cstheme="minorHAnsi"/>
          <w:kern w:val="2"/>
          <w:szCs w:val="22"/>
          <w:shd w:val="clear" w:color="auto" w:fill="FFFFFF"/>
          <w14:ligatures w14:val="standardContextual"/>
        </w:rPr>
        <w:t xml:space="preserve"> del parametro in base al numero dei componenti del nucleo familiare in misura pari a:</w:t>
      </w:r>
      <w:r w:rsidRPr="009F4186">
        <w:rPr>
          <w:rFonts w:eastAsiaTheme="minorHAnsi" w:cstheme="minorHAnsi"/>
          <w:kern w:val="2"/>
          <w:sz w:val="28"/>
          <w:szCs w:val="28"/>
          <w14:ligatures w14:val="standardContextual"/>
        </w:rPr>
        <w:t> </w:t>
      </w:r>
    </w:p>
    <w:p w14:paraId="25289C31" w14:textId="77777777" w:rsidR="00F02767" w:rsidRPr="009F4186" w:rsidRDefault="00F02767" w:rsidP="00F02767">
      <w:pPr>
        <w:numPr>
          <w:ilvl w:val="0"/>
          <w:numId w:val="2"/>
        </w:numPr>
        <w:shd w:val="clear" w:color="auto" w:fill="FFFFFF"/>
        <w:tabs>
          <w:tab w:val="clear" w:pos="720"/>
          <w:tab w:val="num" w:pos="1418"/>
        </w:tabs>
        <w:spacing w:before="60" w:after="60" w:line="276" w:lineRule="auto"/>
        <w:ind w:left="426" w:hanging="284"/>
        <w:rPr>
          <w:rFonts w:eastAsia="Times New Roman" w:cstheme="minorHAnsi"/>
          <w:szCs w:val="22"/>
          <w:lang w:eastAsia="it-IT"/>
        </w:rPr>
      </w:pPr>
      <w:r w:rsidRPr="009F4186">
        <w:rPr>
          <w:rFonts w:eastAsia="Times New Roman" w:cstheme="minorHAnsi"/>
          <w:szCs w:val="22"/>
          <w:lang w:eastAsia="it-IT"/>
        </w:rPr>
        <w:t>0,2 in caso di nuclei familiari con tre figli;</w:t>
      </w:r>
    </w:p>
    <w:p w14:paraId="21FCD46D" w14:textId="77777777" w:rsidR="00F02767" w:rsidRPr="009F4186" w:rsidRDefault="00F02767" w:rsidP="00F02767">
      <w:pPr>
        <w:numPr>
          <w:ilvl w:val="0"/>
          <w:numId w:val="2"/>
        </w:numPr>
        <w:shd w:val="clear" w:color="auto" w:fill="FFFFFF"/>
        <w:tabs>
          <w:tab w:val="clear" w:pos="720"/>
          <w:tab w:val="num" w:pos="1418"/>
        </w:tabs>
        <w:spacing w:before="60" w:after="60" w:line="276" w:lineRule="auto"/>
        <w:ind w:left="426" w:hanging="284"/>
        <w:rPr>
          <w:rFonts w:eastAsia="Times New Roman" w:cstheme="minorHAnsi"/>
          <w:szCs w:val="22"/>
          <w:lang w:eastAsia="it-IT"/>
        </w:rPr>
      </w:pPr>
      <w:r w:rsidRPr="009F4186">
        <w:rPr>
          <w:rFonts w:eastAsia="Times New Roman" w:cstheme="minorHAnsi"/>
          <w:szCs w:val="22"/>
          <w:lang w:eastAsia="it-IT"/>
        </w:rPr>
        <w:t>0,35 in caso di quattro figli;</w:t>
      </w:r>
    </w:p>
    <w:p w14:paraId="7B6E1E27" w14:textId="77777777" w:rsidR="00F02767" w:rsidRPr="009F4186" w:rsidRDefault="00F02767" w:rsidP="00F02767">
      <w:pPr>
        <w:numPr>
          <w:ilvl w:val="0"/>
          <w:numId w:val="2"/>
        </w:numPr>
        <w:shd w:val="clear" w:color="auto" w:fill="FFFFFF"/>
        <w:tabs>
          <w:tab w:val="clear" w:pos="720"/>
          <w:tab w:val="num" w:pos="1418"/>
        </w:tabs>
        <w:spacing w:before="60" w:after="60" w:line="276" w:lineRule="auto"/>
        <w:ind w:left="426" w:hanging="284"/>
        <w:rPr>
          <w:rFonts w:eastAsia="Times New Roman" w:cstheme="minorHAnsi"/>
          <w:szCs w:val="22"/>
          <w:lang w:eastAsia="it-IT"/>
        </w:rPr>
      </w:pPr>
      <w:r w:rsidRPr="009F4186">
        <w:rPr>
          <w:rFonts w:eastAsia="Times New Roman" w:cstheme="minorHAnsi"/>
          <w:szCs w:val="22"/>
          <w:lang w:eastAsia="it-IT"/>
        </w:rPr>
        <w:t>0,5 in caso di almeno cinque figli;</w:t>
      </w:r>
    </w:p>
    <w:p w14:paraId="4A87C616" w14:textId="77777777" w:rsidR="00F02767" w:rsidRPr="009F4186" w:rsidRDefault="00F02767" w:rsidP="00F02767">
      <w:pPr>
        <w:numPr>
          <w:ilvl w:val="0"/>
          <w:numId w:val="2"/>
        </w:numPr>
        <w:shd w:val="clear" w:color="auto" w:fill="FFFFFF"/>
        <w:tabs>
          <w:tab w:val="clear" w:pos="720"/>
          <w:tab w:val="num" w:pos="1418"/>
        </w:tabs>
        <w:spacing w:before="60" w:after="60" w:line="276" w:lineRule="auto"/>
        <w:ind w:left="426" w:hanging="284"/>
        <w:rPr>
          <w:rFonts w:eastAsia="Times New Roman" w:cstheme="minorHAnsi"/>
          <w:szCs w:val="22"/>
          <w:lang w:eastAsia="it-IT"/>
        </w:rPr>
      </w:pPr>
      <w:r w:rsidRPr="009F4186">
        <w:rPr>
          <w:rFonts w:eastAsia="Times New Roman" w:cstheme="minorHAnsi"/>
          <w:szCs w:val="22"/>
          <w:lang w:eastAsia="it-IT"/>
        </w:rPr>
        <w:t>0,2 per nuclei familiari con figli minorenni e per nuclei familiari composti esclusivamente da genitore solo non lavoratore e da figli minorenni;</w:t>
      </w:r>
    </w:p>
    <w:p w14:paraId="55C72703" w14:textId="77777777" w:rsidR="00F02767" w:rsidRPr="009F4186" w:rsidRDefault="00F02767" w:rsidP="00F02767">
      <w:pPr>
        <w:numPr>
          <w:ilvl w:val="0"/>
          <w:numId w:val="2"/>
        </w:numPr>
        <w:shd w:val="clear" w:color="auto" w:fill="FFFFFF"/>
        <w:tabs>
          <w:tab w:val="clear" w:pos="720"/>
          <w:tab w:val="num" w:pos="1418"/>
        </w:tabs>
        <w:spacing w:before="60" w:after="60" w:line="276" w:lineRule="auto"/>
        <w:ind w:left="426" w:hanging="284"/>
        <w:rPr>
          <w:rFonts w:eastAsia="Times New Roman" w:cstheme="minorHAnsi"/>
          <w:szCs w:val="22"/>
          <w:lang w:eastAsia="it-IT"/>
        </w:rPr>
      </w:pPr>
      <w:r w:rsidRPr="009F4186">
        <w:rPr>
          <w:rFonts w:eastAsia="Times New Roman" w:cstheme="minorHAnsi"/>
          <w:szCs w:val="22"/>
          <w:lang w:eastAsia="it-IT"/>
        </w:rPr>
        <w:t xml:space="preserve">0,3 per nuclei familiari con almeno un figlio di età inferiore a tre anni compiuti, in cui entrambi i genitori o il singolo genitore </w:t>
      </w:r>
      <w:r>
        <w:rPr>
          <w:rFonts w:eastAsia="Times New Roman" w:cstheme="minorHAnsi"/>
          <w:szCs w:val="22"/>
          <w:lang w:eastAsia="it-IT"/>
        </w:rPr>
        <w:t>abbiano</w:t>
      </w:r>
      <w:r w:rsidRPr="009F4186">
        <w:rPr>
          <w:rFonts w:eastAsia="Times New Roman" w:cstheme="minorHAnsi"/>
          <w:szCs w:val="22"/>
          <w:lang w:eastAsia="it-IT"/>
        </w:rPr>
        <w:t xml:space="preserve"> svolto attività di lavoro o di impresa per almeno sei mesi nell’anno di riferimento de</w:t>
      </w:r>
      <w:r>
        <w:rPr>
          <w:rFonts w:eastAsia="Times New Roman" w:cstheme="minorHAnsi"/>
          <w:szCs w:val="22"/>
          <w:lang w:eastAsia="it-IT"/>
        </w:rPr>
        <w:t>i redditi dichiarati</w:t>
      </w:r>
      <w:r w:rsidRPr="009F4186">
        <w:rPr>
          <w:rFonts w:eastAsia="Times New Roman" w:cstheme="minorHAnsi"/>
          <w:szCs w:val="22"/>
          <w:lang w:eastAsia="it-IT"/>
        </w:rPr>
        <w:t>;</w:t>
      </w:r>
    </w:p>
    <w:p w14:paraId="543082F1" w14:textId="77777777" w:rsidR="00F02767" w:rsidRPr="009F4186" w:rsidRDefault="00F02767" w:rsidP="00F02767">
      <w:pPr>
        <w:numPr>
          <w:ilvl w:val="0"/>
          <w:numId w:val="2"/>
        </w:numPr>
        <w:shd w:val="clear" w:color="auto" w:fill="FFFFFF"/>
        <w:tabs>
          <w:tab w:val="clear" w:pos="720"/>
          <w:tab w:val="num" w:pos="1418"/>
        </w:tabs>
        <w:spacing w:before="60" w:after="60" w:line="276" w:lineRule="auto"/>
        <w:ind w:left="426" w:hanging="284"/>
        <w:rPr>
          <w:rFonts w:eastAsia="Times New Roman" w:cstheme="minorHAnsi"/>
          <w:szCs w:val="22"/>
          <w:lang w:eastAsia="it-IT"/>
        </w:rPr>
      </w:pPr>
      <w:r w:rsidRPr="009F4186">
        <w:rPr>
          <w:rFonts w:eastAsia="Times New Roman" w:cstheme="minorHAnsi"/>
          <w:szCs w:val="22"/>
          <w:lang w:eastAsia="it-IT"/>
        </w:rPr>
        <w:t>0,5 per ogni componente con disabilità media, grave o non autosufficiente.</w:t>
      </w:r>
    </w:p>
    <w:p w14:paraId="641C441F" w14:textId="77777777" w:rsidR="00F02767" w:rsidRPr="009F4186" w:rsidRDefault="00F02767" w:rsidP="00F02767">
      <w:pPr>
        <w:spacing w:before="120" w:after="120" w:line="276" w:lineRule="auto"/>
        <w:rPr>
          <w:shd w:val="clear" w:color="auto" w:fill="FFFFFF"/>
        </w:rPr>
      </w:pPr>
      <w:r w:rsidRPr="009F4186">
        <w:rPr>
          <w:shd w:val="clear" w:color="auto" w:fill="FFFFFF"/>
        </w:rPr>
        <w:t>In sostanza, l’assegno sociale parametrato al numero dei componenti del nucleo familiare (che si ottiene moltiplicando l’importo dell’assegno sociale per il parametro della scala di equivalenza ISEE dei componenti il nucleo familiare) rappresenta, nell’ottica dell’art. 68, comma 3</w:t>
      </w:r>
      <w:r>
        <w:rPr>
          <w:shd w:val="clear" w:color="auto" w:fill="FFFFFF"/>
        </w:rPr>
        <w:t>,</w:t>
      </w:r>
      <w:r w:rsidRPr="009F4186">
        <w:rPr>
          <w:shd w:val="clear" w:color="auto" w:fill="FFFFFF"/>
        </w:rPr>
        <w:t xml:space="preserve"> CCII, quanto dovrebbe essere considerato minimamente necessario al mantenimento di un dignitoso tenore di vita da confrontare, a cura del soggetto finanziatore, con il reddito disponibile del consumatore. </w:t>
      </w:r>
    </w:p>
    <w:p w14:paraId="2B6E3AAC" w14:textId="77777777" w:rsidR="00F02767" w:rsidRPr="009F4186" w:rsidRDefault="00F02767" w:rsidP="00F02767">
      <w:pPr>
        <w:spacing w:before="120" w:after="120" w:line="276" w:lineRule="auto"/>
        <w:rPr>
          <w:shd w:val="clear" w:color="auto" w:fill="FFFFFF"/>
        </w:rPr>
      </w:pPr>
      <w:r w:rsidRPr="00D92FDF">
        <w:rPr>
          <w:shd w:val="clear" w:color="auto" w:fill="FFFFFF"/>
        </w:rPr>
        <w:lastRenderedPageBreak/>
        <w:t>Oltre a questa sanzione di tipo processuale</w:t>
      </w:r>
      <w:r w:rsidRPr="00B07B56">
        <w:rPr>
          <w:shd w:val="clear" w:color="auto" w:fill="FFFFFF"/>
        </w:rPr>
        <w:t>,</w:t>
      </w:r>
      <w:r w:rsidRPr="009F4186">
        <w:rPr>
          <w:shd w:val="clear" w:color="auto" w:fill="FFFFFF"/>
        </w:rPr>
        <w:t xml:space="preserve"> è configurabile una responsabilità sostanziale risarcitoria per violazione degli obblighi di protezione, che dovrebbe consentire al debitore di essere ristorato per la mancata esdebitazione, nel caso in cui, a causa della violazione del merito creditizio, non abbia potuto esercitare il relativo diritto</w:t>
      </w:r>
      <w:r>
        <w:rPr>
          <w:rStyle w:val="Rimandonotaapidipagina"/>
          <w:shd w:val="clear" w:color="auto" w:fill="FFFFFF"/>
        </w:rPr>
        <w:footnoteReference w:id="3"/>
      </w:r>
      <w:r w:rsidRPr="009F4186">
        <w:rPr>
          <w:shd w:val="clear" w:color="auto" w:fill="FFFFFF"/>
        </w:rPr>
        <w:t>.</w:t>
      </w:r>
    </w:p>
    <w:p w14:paraId="3ECD910E" w14:textId="77777777" w:rsidR="00F02767" w:rsidRPr="009F4186" w:rsidRDefault="00F02767" w:rsidP="00F02767">
      <w:pPr>
        <w:spacing w:before="120" w:after="120" w:line="276" w:lineRule="auto"/>
        <w:rPr>
          <w:shd w:val="clear" w:color="auto" w:fill="FFFFFF"/>
        </w:rPr>
      </w:pPr>
      <w:r w:rsidRPr="009F4186">
        <w:rPr>
          <w:shd w:val="clear" w:color="auto" w:fill="FFFFFF"/>
        </w:rPr>
        <w:t xml:space="preserve">In ultimo </w:t>
      </w:r>
      <w:r>
        <w:rPr>
          <w:shd w:val="clear" w:color="auto" w:fill="FFFFFF"/>
        </w:rPr>
        <w:t>va considerato che se è vero che il legislatore ha inteso</w:t>
      </w:r>
      <w:r w:rsidRPr="009F4186">
        <w:rPr>
          <w:shd w:val="clear" w:color="auto" w:fill="FFFFFF"/>
        </w:rPr>
        <w:t xml:space="preserve"> distinguere il presupposto di accesso alla procedura (colpa grave del debitore, che rileva nel momento della decisione sull’ammissibilità) dalla valutazione del merito creditizio, la cui violazione preclude al creditore soltanto alcune facoltà processuali a procedura ormai aperta, e quindi già superato il vaglio dell’ammissibilità (infatti il finanziatore malaccorto non può opporsi all’omologazione del piano e non può proporre reclamo dopo l’omologazione), è anche vero che il diverso momento in cui operano le due situazioni non significa anche che la legge le abbia volute completamente slegare nella valutazione complessiva della colpa del debitore</w:t>
      </w:r>
      <w:r>
        <w:rPr>
          <w:rStyle w:val="Rimandonotaapidipagina"/>
          <w:shd w:val="clear" w:color="auto" w:fill="FFFFFF"/>
        </w:rPr>
        <w:footnoteReference w:id="4"/>
      </w:r>
      <w:r>
        <w:rPr>
          <w:shd w:val="clear" w:color="auto" w:fill="FFFFFF"/>
        </w:rPr>
        <w:t>.</w:t>
      </w:r>
      <w:r w:rsidRPr="009F4186">
        <w:rPr>
          <w:shd w:val="clear" w:color="auto" w:fill="FFFFFF"/>
        </w:rPr>
        <w:t xml:space="preserve"> </w:t>
      </w:r>
    </w:p>
    <w:p w14:paraId="6F42A53E" w14:textId="77777777" w:rsidR="00F02767" w:rsidRPr="009F4186" w:rsidRDefault="00F02767" w:rsidP="00F02767">
      <w:pPr>
        <w:spacing w:before="120" w:after="120" w:line="276" w:lineRule="auto"/>
        <w:rPr>
          <w:shd w:val="clear" w:color="auto" w:fill="FFFFFF"/>
        </w:rPr>
      </w:pPr>
      <w:r w:rsidRPr="009F4186">
        <w:rPr>
          <w:shd w:val="clear" w:color="auto" w:fill="FFFFFF"/>
        </w:rPr>
        <w:t>Non può, infatti, sottacersi che il creditore, avvantaggiandosi di evidenti e robuste dissimmetrie informative, gode di una posizione di assoluto vantaggio informativo nei confronti del debitore, e non può essere senza rilievo il fatto che, tra i due, sia proprio il finanziatore a comprendere meglio del finanziato l’opportunità o meno di concedere credito, ben sapendo il finanziatore che, ove il debito non venga onorato, egli potrà eventualmente agire esecutivamente anche sulla casa di abitazione del consumatore (per cui con prestiti al consumo di modesta entità si potrebbero avere effetti devastanti per il debitore, incidenti sul suo patrimonio in misura sproporzionata rispetto al debito).</w:t>
      </w:r>
    </w:p>
    <w:p w14:paraId="6ACA2F96" w14:textId="77777777" w:rsidR="00F02767" w:rsidRPr="009F4186" w:rsidRDefault="00F02767" w:rsidP="00F02767">
      <w:pPr>
        <w:spacing w:before="120" w:after="120" w:line="276" w:lineRule="auto"/>
        <w:rPr>
          <w:shd w:val="clear" w:color="auto" w:fill="FFFFFF"/>
        </w:rPr>
      </w:pPr>
      <w:r w:rsidRPr="009F4186">
        <w:rPr>
          <w:shd w:val="clear" w:color="auto" w:fill="FFFFFF"/>
        </w:rPr>
        <w:t>Ragion per cui, se il finanziatore approfitta della sua posizione di vantaggio per concedere il prestito, laddove non avrebbe dovuto farlo, non può a priori negarsi la possibilità di derubricare l’eventuale colpa del debitore da grave a lieve, avuto riguardo ovviamente al caso concreto e alla eventualmente pr</w:t>
      </w:r>
      <w:r>
        <w:rPr>
          <w:shd w:val="clear" w:color="auto" w:fill="FFFFFF"/>
        </w:rPr>
        <w:t>o</w:t>
      </w:r>
      <w:r w:rsidRPr="009F4186">
        <w:rPr>
          <w:shd w:val="clear" w:color="auto" w:fill="FFFFFF"/>
        </w:rPr>
        <w:t>va condotta del debitore che potrebbe anche prevalere sulla considerazione della violazione del merito creditizio.</w:t>
      </w:r>
    </w:p>
    <w:p w14:paraId="69907544" w14:textId="77777777" w:rsidR="00F02767" w:rsidRPr="009F4186" w:rsidRDefault="00F02767" w:rsidP="00F02767">
      <w:pPr>
        <w:spacing w:before="120" w:after="120" w:line="276" w:lineRule="auto"/>
        <w:rPr>
          <w:shd w:val="clear" w:color="auto" w:fill="FFFFFF"/>
        </w:rPr>
      </w:pPr>
      <w:r w:rsidRPr="009F4186">
        <w:rPr>
          <w:shd w:val="clear" w:color="auto" w:fill="FFFFFF"/>
        </w:rPr>
        <w:t>In</w:t>
      </w:r>
      <w:r>
        <w:rPr>
          <w:shd w:val="clear" w:color="auto" w:fill="FFFFFF"/>
        </w:rPr>
        <w:t xml:space="preserve"> definitiva</w:t>
      </w:r>
      <w:r w:rsidRPr="009F4186">
        <w:rPr>
          <w:shd w:val="clear" w:color="auto" w:fill="FFFFFF"/>
        </w:rPr>
        <w:t>, la violazione del merito creditizio non è una variabile indipendente e scollegata, ma va relazionata alla eventuale colpa del debitore, in quanto il creditore e il debitore sono entrambi parti della medesima relazione commerciale, per cui va fatta una comparazione (delle colpe) all’esito della quale la violazione del merito creditizio potrebbe anche elidere la gravità della colpa del debitore, oppure, al contrario, quest’ultima potrebbe prevalere sulla colpa del creditore.</w:t>
      </w:r>
    </w:p>
    <w:p w14:paraId="65EFA192" w14:textId="77777777" w:rsidR="00F02767" w:rsidRPr="009F4186" w:rsidRDefault="00F02767" w:rsidP="00F02767">
      <w:pPr>
        <w:spacing w:before="120" w:after="120" w:line="276" w:lineRule="auto"/>
        <w:rPr>
          <w:shd w:val="clear" w:color="auto" w:fill="FFFFFF"/>
        </w:rPr>
      </w:pPr>
      <w:r w:rsidRPr="009F4186">
        <w:rPr>
          <w:shd w:val="clear" w:color="auto" w:fill="FFFFFF"/>
        </w:rPr>
        <w:t>Un’indagine di questo tipo, che sfoci prima nella relazione accompagnatoria del gestore e poi nella motivazione del provvedimento giudiziale, va comunque fatta.</w:t>
      </w:r>
    </w:p>
    <w:p w14:paraId="35163F26" w14:textId="77777777" w:rsidR="00F02767" w:rsidRPr="001711B4" w:rsidRDefault="00F02767" w:rsidP="00F02767">
      <w:pPr>
        <w:shd w:val="clear" w:color="auto" w:fill="FFFFFF"/>
        <w:spacing w:before="120" w:after="120" w:line="276" w:lineRule="auto"/>
        <w:outlineLvl w:val="1"/>
        <w:rPr>
          <w:rFonts w:eastAsiaTheme="minorHAnsi" w:cstheme="minorHAnsi"/>
          <w:color w:val="262626" w:themeColor="text1" w:themeTint="D9"/>
          <w:kern w:val="2"/>
          <w:szCs w:val="22"/>
          <w:shd w:val="clear" w:color="auto" w:fill="FFFFFF"/>
          <w14:ligatures w14:val="standardContextual"/>
        </w:rPr>
        <w:sectPr w:rsidR="00F02767" w:rsidRPr="001711B4" w:rsidSect="00F02767">
          <w:pgSz w:w="11906" w:h="16838" w:code="9"/>
          <w:pgMar w:top="2268" w:right="1418" w:bottom="1418" w:left="1418" w:header="709" w:footer="709" w:gutter="0"/>
          <w:cols w:space="708"/>
          <w:docGrid w:linePitch="360"/>
        </w:sectPr>
      </w:pPr>
    </w:p>
    <w:p w14:paraId="58293F8A" w14:textId="77777777" w:rsidR="00E70DE5" w:rsidRDefault="00E70DE5"/>
    <w:sectPr w:rsidR="00E70DE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C55D6" w14:textId="77777777" w:rsidR="00F02767" w:rsidRDefault="00F02767" w:rsidP="00F02767">
      <w:pPr>
        <w:spacing w:after="0" w:line="240" w:lineRule="auto"/>
      </w:pPr>
      <w:r>
        <w:separator/>
      </w:r>
    </w:p>
  </w:endnote>
  <w:endnote w:type="continuationSeparator" w:id="0">
    <w:p w14:paraId="39333ED8" w14:textId="77777777" w:rsidR="00F02767" w:rsidRDefault="00F02767" w:rsidP="00F0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itoli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B4779" w14:textId="77777777" w:rsidR="00F02767" w:rsidRDefault="00F02767" w:rsidP="00F02767">
      <w:pPr>
        <w:spacing w:after="0" w:line="240" w:lineRule="auto"/>
      </w:pPr>
      <w:r>
        <w:separator/>
      </w:r>
    </w:p>
  </w:footnote>
  <w:footnote w:type="continuationSeparator" w:id="0">
    <w:p w14:paraId="3A24C0E3" w14:textId="77777777" w:rsidR="00F02767" w:rsidRDefault="00F02767" w:rsidP="00F02767">
      <w:pPr>
        <w:spacing w:after="0" w:line="240" w:lineRule="auto"/>
      </w:pPr>
      <w:r>
        <w:continuationSeparator/>
      </w:r>
    </w:p>
  </w:footnote>
  <w:footnote w:id="1">
    <w:p w14:paraId="318157DE" w14:textId="77777777" w:rsidR="00F02767" w:rsidRPr="003B375C" w:rsidRDefault="00F02767" w:rsidP="00F02767">
      <w:pPr>
        <w:pStyle w:val="Testonotaapidipagina"/>
        <w:rPr>
          <w:rFonts w:eastAsia="Times New Roman" w:cstheme="minorHAnsi"/>
          <w:color w:val="404040" w:themeColor="text1" w:themeTint="BF"/>
          <w:sz w:val="18"/>
          <w:szCs w:val="18"/>
          <w:bdr w:val="none" w:sz="0" w:space="0" w:color="auto" w:frame="1"/>
          <w:lang w:eastAsia="it-IT"/>
        </w:rPr>
      </w:pPr>
      <w:r w:rsidRPr="003B375C">
        <w:rPr>
          <w:rStyle w:val="Rimandonotaapidipagina"/>
          <w:rFonts w:cstheme="minorHAnsi"/>
          <w:color w:val="404040" w:themeColor="text1" w:themeTint="BF"/>
          <w:sz w:val="18"/>
          <w:szCs w:val="18"/>
        </w:rPr>
        <w:footnoteRef/>
      </w:r>
      <w:r w:rsidRPr="003B375C">
        <w:rPr>
          <w:rFonts w:cstheme="minorHAnsi"/>
          <w:color w:val="404040" w:themeColor="text1" w:themeTint="BF"/>
          <w:sz w:val="18"/>
          <w:szCs w:val="18"/>
        </w:rPr>
        <w:t xml:space="preserve"> V</w:t>
      </w:r>
      <w:r w:rsidRPr="003B375C">
        <w:rPr>
          <w:rFonts w:eastAsia="Times New Roman" w:cstheme="minorHAnsi"/>
          <w:color w:val="404040" w:themeColor="text1" w:themeTint="BF"/>
          <w:sz w:val="18"/>
          <w:szCs w:val="18"/>
          <w:bdr w:val="none" w:sz="0" w:space="0" w:color="auto" w:frame="1"/>
          <w:lang w:eastAsia="it-IT"/>
        </w:rPr>
        <w:t>a rilevato che analoga disposizione è dettata anche per il concordato minore ove all’art. 76, comma 3, CCII è previsto che “l</w:t>
      </w:r>
      <w:r w:rsidRPr="003B375C">
        <w:rPr>
          <w:rFonts w:eastAsia="Times New Roman" w:cstheme="minorHAnsi"/>
          <w:i/>
          <w:color w:val="404040" w:themeColor="text1" w:themeTint="BF"/>
          <w:sz w:val="18"/>
          <w:szCs w:val="18"/>
          <w:bdr w:val="none" w:sz="0" w:space="0" w:color="auto" w:frame="1"/>
          <w:lang w:eastAsia="it-IT"/>
        </w:rPr>
        <w:t>’O.C.C., nella sua relazione, deve indicare anche se il soggetto finanziatore, ai fini della concessione del finanziamento, abbia tenuto conto del merito creditizio del debitore”</w:t>
      </w:r>
      <w:r w:rsidRPr="003B375C">
        <w:rPr>
          <w:rFonts w:eastAsia="Times New Roman" w:cstheme="minorHAnsi"/>
          <w:color w:val="404040" w:themeColor="text1" w:themeTint="BF"/>
          <w:sz w:val="18"/>
          <w:szCs w:val="18"/>
          <w:bdr w:val="none" w:sz="0" w:space="0" w:color="auto" w:frame="1"/>
          <w:lang w:eastAsia="it-IT"/>
        </w:rPr>
        <w:t xml:space="preserve">.  </w:t>
      </w:r>
    </w:p>
  </w:footnote>
  <w:footnote w:id="2">
    <w:p w14:paraId="4A14A8EE" w14:textId="77777777" w:rsidR="00F02767" w:rsidRPr="003B375C" w:rsidRDefault="00F02767" w:rsidP="00F02767">
      <w:pPr>
        <w:pStyle w:val="Testonotaapidipagina"/>
        <w:rPr>
          <w:rFonts w:cstheme="minorHAnsi"/>
          <w:color w:val="404040" w:themeColor="text1" w:themeTint="BF"/>
          <w:sz w:val="18"/>
          <w:szCs w:val="18"/>
        </w:rPr>
      </w:pPr>
      <w:r w:rsidRPr="003B375C">
        <w:rPr>
          <w:rStyle w:val="Rimandonotaapidipagina"/>
          <w:rFonts w:cstheme="minorHAnsi"/>
          <w:color w:val="404040" w:themeColor="text1" w:themeTint="BF"/>
          <w:sz w:val="18"/>
          <w:szCs w:val="18"/>
        </w:rPr>
        <w:footnoteRef/>
      </w:r>
      <w:r w:rsidRPr="003B375C">
        <w:rPr>
          <w:rFonts w:cstheme="minorHAnsi"/>
          <w:color w:val="404040" w:themeColor="text1" w:themeTint="BF"/>
          <w:sz w:val="18"/>
          <w:szCs w:val="18"/>
        </w:rPr>
        <w:t xml:space="preserve"> D</w:t>
      </w:r>
      <w:r w:rsidRPr="003B375C">
        <w:rPr>
          <w:rFonts w:eastAsia="Times New Roman" w:cstheme="minorHAnsi"/>
          <w:color w:val="404040" w:themeColor="text1" w:themeTint="BF"/>
          <w:sz w:val="18"/>
          <w:szCs w:val="18"/>
          <w:bdr w:val="none" w:sz="0" w:space="0" w:color="auto" w:frame="1"/>
          <w:lang w:eastAsia="it-IT"/>
        </w:rPr>
        <w:t>isposizione similare è dettata anche in materia di concordato minore; l’art. 80, comma 4, CCII prevede che “</w:t>
      </w:r>
      <w:r w:rsidRPr="003B375C">
        <w:rPr>
          <w:rFonts w:eastAsia="Times New Roman" w:cstheme="minorHAnsi"/>
          <w:i/>
          <w:color w:val="404040" w:themeColor="text1" w:themeTint="BF"/>
          <w:sz w:val="18"/>
          <w:szCs w:val="18"/>
          <w:bdr w:val="none" w:sz="0" w:space="0" w:color="auto" w:frame="1"/>
          <w:lang w:eastAsia="it-IT"/>
        </w:rPr>
        <w:t>il creditore, anche dissenziente, che ha colpevolmente determinato la situazione di indebitamento o il suo aggravamento non può presentare opposizione in sede di omologa per contestare la convenienza della proposta”.</w:t>
      </w:r>
    </w:p>
  </w:footnote>
  <w:footnote w:id="3">
    <w:p w14:paraId="15A17EAA" w14:textId="77777777" w:rsidR="00F02767" w:rsidRPr="003B375C" w:rsidRDefault="00F02767" w:rsidP="00F02767">
      <w:pPr>
        <w:pStyle w:val="Testonotaapidipagina"/>
        <w:rPr>
          <w:color w:val="404040" w:themeColor="text1" w:themeTint="BF"/>
          <w:sz w:val="18"/>
          <w:szCs w:val="18"/>
        </w:rPr>
      </w:pPr>
      <w:r w:rsidRPr="003B375C">
        <w:rPr>
          <w:rStyle w:val="Rimandonotaapidipagina"/>
          <w:color w:val="404040" w:themeColor="text1" w:themeTint="BF"/>
          <w:sz w:val="18"/>
          <w:szCs w:val="18"/>
        </w:rPr>
        <w:footnoteRef/>
      </w:r>
      <w:r w:rsidRPr="003B375C">
        <w:rPr>
          <w:color w:val="404040" w:themeColor="text1" w:themeTint="BF"/>
          <w:sz w:val="18"/>
          <w:szCs w:val="18"/>
        </w:rPr>
        <w:t xml:space="preserve"> Su tali aspetti, Corte di Giustizia CE (27.3.2014 - Causa n. 565/12) che prevede anche conseguenze sostanziali (perdita interessi convenzionali, nonché interessi legali, se superiori a quelli convenzionali); Arbitro Bancario Finanziario, Collegio di Roma, decisione n. 440 20.08.2013; Arbitro Bancario Finanziario, Collegio di Milano, decisione n. 6429 del 31.8.2015; Arbitro Bancario Finanziario, Collegio di Napoli, decisione n. 1030 del 16.1.2018.</w:t>
      </w:r>
    </w:p>
  </w:footnote>
  <w:footnote w:id="4">
    <w:p w14:paraId="6F850F2E" w14:textId="77777777" w:rsidR="00F02767" w:rsidRPr="003B375C" w:rsidRDefault="00F02767" w:rsidP="00F02767">
      <w:pPr>
        <w:pStyle w:val="Testonotaapidipagina"/>
        <w:rPr>
          <w:color w:val="404040" w:themeColor="text1" w:themeTint="BF"/>
          <w:sz w:val="18"/>
          <w:szCs w:val="18"/>
        </w:rPr>
      </w:pPr>
      <w:r w:rsidRPr="003B375C">
        <w:rPr>
          <w:rStyle w:val="Rimandonotaapidipagina"/>
          <w:color w:val="404040" w:themeColor="text1" w:themeTint="BF"/>
          <w:sz w:val="18"/>
          <w:szCs w:val="18"/>
        </w:rPr>
        <w:footnoteRef/>
      </w:r>
      <w:r w:rsidRPr="003B375C">
        <w:rPr>
          <w:color w:val="404040" w:themeColor="text1" w:themeTint="BF"/>
          <w:sz w:val="18"/>
          <w:szCs w:val="18"/>
        </w:rPr>
        <w:t xml:space="preserve"> Come affermato da alcuni Tribunali (tra cui Ferrara, Barcellona Pozzo di Gotto, Catania) ritenendo ininfluente la violazione del merito creditizio ai fini della valutazione della gravità della colpa debitoria.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540FB"/>
    <w:multiLevelType w:val="multilevel"/>
    <w:tmpl w:val="1680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430DC"/>
    <w:multiLevelType w:val="multilevel"/>
    <w:tmpl w:val="512461BA"/>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792FD3"/>
    <w:multiLevelType w:val="multilevel"/>
    <w:tmpl w:val="C25E1436"/>
    <w:lvl w:ilvl="0">
      <w:start w:val="1"/>
      <w:numFmt w:val="decimal"/>
      <w:pStyle w:val="Titolo1"/>
      <w:lvlText w:val="%1."/>
      <w:lvlJc w:val="left"/>
      <w:pPr>
        <w:ind w:left="360" w:hanging="360"/>
      </w:pPr>
    </w:lvl>
    <w:lvl w:ilvl="1">
      <w:start w:val="1"/>
      <w:numFmt w:val="decimal"/>
      <w:pStyle w:val="Titolo2"/>
      <w:lvlText w:val="%1.%2."/>
      <w:lvlJc w:val="left"/>
      <w:pPr>
        <w:ind w:left="857" w:hanging="432"/>
      </w:pPr>
      <w:rPr>
        <w:b/>
        <w:bCs/>
      </w:r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1023632">
    <w:abstractNumId w:val="2"/>
  </w:num>
  <w:num w:numId="2" w16cid:durableId="1665469195">
    <w:abstractNumId w:val="0"/>
  </w:num>
  <w:num w:numId="3" w16cid:durableId="1658992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67"/>
    <w:rsid w:val="00E70DE5"/>
    <w:rsid w:val="00F02767"/>
    <w:rsid w:val="00F918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9283"/>
  <w15:chartTrackingRefBased/>
  <w15:docId w15:val="{B5CB383D-9EA0-4F1F-AE39-9B112D0D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2767"/>
    <w:pPr>
      <w:spacing w:after="200" w:line="312" w:lineRule="auto"/>
      <w:jc w:val="both"/>
    </w:pPr>
    <w:rPr>
      <w:rFonts w:eastAsiaTheme="minorEastAsia"/>
      <w:color w:val="404040" w:themeColor="text1" w:themeTint="BF"/>
      <w:kern w:val="0"/>
      <w:szCs w:val="21"/>
      <w14:ligatures w14:val="none"/>
    </w:rPr>
  </w:style>
  <w:style w:type="paragraph" w:styleId="Titolo1">
    <w:name w:val="heading 1"/>
    <w:basedOn w:val="Normale"/>
    <w:next w:val="Normale"/>
    <w:link w:val="Titolo1Carattere"/>
    <w:uiPriority w:val="9"/>
    <w:qFormat/>
    <w:rsid w:val="00F02767"/>
    <w:pPr>
      <w:keepNext/>
      <w:keepLines/>
      <w:numPr>
        <w:numId w:val="1"/>
      </w:numPr>
      <w:pBdr>
        <w:top w:val="single" w:sz="24" w:space="12" w:color="C00000"/>
      </w:pBdr>
      <w:spacing w:after="720" w:line="264" w:lineRule="auto"/>
      <w:ind w:left="357" w:hanging="357"/>
      <w:outlineLvl w:val="0"/>
    </w:pPr>
    <w:rPr>
      <w:rFonts w:ascii="Calibri" w:eastAsiaTheme="majorEastAsia" w:hAnsi="Calibri" w:cs="Times New Roman (Titoli CS)"/>
      <w:b/>
      <w:color w:val="C00000"/>
      <w:sz w:val="28"/>
      <w:szCs w:val="40"/>
    </w:rPr>
  </w:style>
  <w:style w:type="paragraph" w:styleId="Titolo2">
    <w:name w:val="heading 2"/>
    <w:basedOn w:val="Normale"/>
    <w:next w:val="Normale"/>
    <w:link w:val="Titolo2Carattere"/>
    <w:uiPriority w:val="9"/>
    <w:unhideWhenUsed/>
    <w:qFormat/>
    <w:rsid w:val="00F02767"/>
    <w:pPr>
      <w:keepNext/>
      <w:keepLines/>
      <w:numPr>
        <w:ilvl w:val="1"/>
        <w:numId w:val="1"/>
      </w:numPr>
      <w:spacing w:before="480" w:after="240" w:line="266" w:lineRule="auto"/>
      <w:ind w:left="715"/>
      <w:outlineLvl w:val="1"/>
    </w:pPr>
    <w:rPr>
      <w:rFonts w:ascii="Calibri" w:eastAsiaTheme="majorEastAsia" w:hAnsi="Calibri" w:cstheme="majorBidi"/>
      <w:b/>
      <w:color w:val="44546A" w:themeColor="text2"/>
      <w:sz w:val="24"/>
      <w:szCs w:val="28"/>
    </w:rPr>
  </w:style>
  <w:style w:type="paragraph" w:styleId="Titolo3">
    <w:name w:val="heading 3"/>
    <w:basedOn w:val="Normale"/>
    <w:next w:val="Normale"/>
    <w:link w:val="Titolo3Carattere"/>
    <w:uiPriority w:val="9"/>
    <w:unhideWhenUsed/>
    <w:qFormat/>
    <w:rsid w:val="00F02767"/>
    <w:pPr>
      <w:keepNext/>
      <w:keepLines/>
      <w:numPr>
        <w:ilvl w:val="2"/>
        <w:numId w:val="1"/>
      </w:numPr>
      <w:spacing w:before="480" w:after="240"/>
      <w:outlineLvl w:val="2"/>
    </w:pPr>
    <w:rPr>
      <w:rFonts w:ascii="Calibri" w:eastAsiaTheme="majorEastAsia" w:hAnsi="Calibri" w:cstheme="majorBidi"/>
      <w:b/>
      <w:color w:val="44546A" w:themeColor="text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2767"/>
    <w:rPr>
      <w:rFonts w:ascii="Calibri" w:eastAsiaTheme="majorEastAsia" w:hAnsi="Calibri" w:cs="Times New Roman (Titoli CS)"/>
      <w:b/>
      <w:color w:val="C00000"/>
      <w:kern w:val="0"/>
      <w:sz w:val="28"/>
      <w:szCs w:val="40"/>
      <w14:ligatures w14:val="none"/>
    </w:rPr>
  </w:style>
  <w:style w:type="character" w:customStyle="1" w:styleId="Titolo2Carattere">
    <w:name w:val="Titolo 2 Carattere"/>
    <w:basedOn w:val="Carpredefinitoparagrafo"/>
    <w:link w:val="Titolo2"/>
    <w:uiPriority w:val="9"/>
    <w:rsid w:val="00F02767"/>
    <w:rPr>
      <w:rFonts w:ascii="Calibri" w:eastAsiaTheme="majorEastAsia" w:hAnsi="Calibri" w:cstheme="majorBidi"/>
      <w:b/>
      <w:color w:val="44546A" w:themeColor="text2"/>
      <w:kern w:val="0"/>
      <w:sz w:val="24"/>
      <w:szCs w:val="28"/>
      <w14:ligatures w14:val="none"/>
    </w:rPr>
  </w:style>
  <w:style w:type="character" w:customStyle="1" w:styleId="Titolo3Carattere">
    <w:name w:val="Titolo 3 Carattere"/>
    <w:basedOn w:val="Carpredefinitoparagrafo"/>
    <w:link w:val="Titolo3"/>
    <w:uiPriority w:val="9"/>
    <w:rsid w:val="00F02767"/>
    <w:rPr>
      <w:rFonts w:ascii="Calibri" w:eastAsiaTheme="majorEastAsia" w:hAnsi="Calibri" w:cstheme="majorBidi"/>
      <w:b/>
      <w:color w:val="44546A" w:themeColor="text2"/>
      <w:kern w:val="0"/>
      <w:szCs w:val="24"/>
      <w14:ligatures w14:val="none"/>
    </w:rPr>
  </w:style>
  <w:style w:type="paragraph" w:styleId="Testonotaapidipagina">
    <w:name w:val="footnote text"/>
    <w:aliases w:val="Testo nota a piè di pagina Carattere Carattere Carattere,Testo nota a piè di pagina Carattere Carattere Carattere Carattere Carattere Carattere Carattere, Carattere,Testo nota a piè di pagina Carattere1 Carattere,Carattere"/>
    <w:basedOn w:val="Normale"/>
    <w:link w:val="TestonotaapidipaginaCarattere"/>
    <w:uiPriority w:val="99"/>
    <w:unhideWhenUsed/>
    <w:qFormat/>
    <w:rsid w:val="00F02767"/>
    <w:pPr>
      <w:spacing w:after="0" w:line="240" w:lineRule="auto"/>
    </w:pPr>
    <w:rPr>
      <w:color w:val="595959" w:themeColor="text1" w:themeTint="A6"/>
      <w:sz w:val="20"/>
      <w:szCs w:val="20"/>
    </w:rPr>
  </w:style>
  <w:style w:type="character" w:customStyle="1" w:styleId="TestonotaapidipaginaCarattere">
    <w:name w:val="Testo nota a piè di pagina Carattere"/>
    <w:aliases w:val="Testo nota a piè di pagina Carattere Carattere Carattere Carattere1,Testo nota a piè di pagina Carattere Carattere Carattere Carattere Carattere Carattere Carattere Carattere, Carattere Carattere1,Carattere Carattere"/>
    <w:basedOn w:val="Carpredefinitoparagrafo"/>
    <w:link w:val="Testonotaapidipagina"/>
    <w:uiPriority w:val="99"/>
    <w:rsid w:val="00F02767"/>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
    <w:uiPriority w:val="99"/>
    <w:unhideWhenUsed/>
    <w:rsid w:val="00F027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6456</Characters>
  <Application>Microsoft Office Word</Application>
  <DocSecurity>0</DocSecurity>
  <Lines>53</Lines>
  <Paragraphs>15</Paragraphs>
  <ScaleCrop>false</ScaleCrop>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team_group - Business Service srl</dc:creator>
  <cp:keywords/>
  <dc:description/>
  <cp:lastModifiedBy>team_group - Business Service srl</cp:lastModifiedBy>
  <cp:revision>1</cp:revision>
  <dcterms:created xsi:type="dcterms:W3CDTF">2024-10-23T08:28:00Z</dcterms:created>
  <dcterms:modified xsi:type="dcterms:W3CDTF">2024-10-23T08:29:00Z</dcterms:modified>
</cp:coreProperties>
</file>